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1" w:rightChars="-272"/>
        <w:jc w:val="center"/>
        <w:rPr>
          <w:rFonts w:cs="宋体"/>
          <w:b/>
          <w:color w:val="000000"/>
          <w:sz w:val="36"/>
          <w:szCs w:val="36"/>
        </w:rPr>
      </w:pPr>
      <w:r>
        <w:rPr>
          <w:rFonts w:hint="eastAsia" w:cs="宋体"/>
          <w:b/>
          <w:color w:val="000000"/>
          <w:sz w:val="36"/>
          <w:szCs w:val="36"/>
        </w:rPr>
        <w:t>编  制  说  明</w:t>
      </w:r>
    </w:p>
    <w:p>
      <w:pPr>
        <w:ind w:right="-571" w:rightChars="-272"/>
        <w:jc w:val="center"/>
        <w:rPr>
          <w:rFonts w:cs="宋体"/>
          <w:b/>
          <w:color w:val="000000"/>
          <w:sz w:val="36"/>
          <w:szCs w:val="36"/>
        </w:rPr>
      </w:pPr>
    </w:p>
    <w:p>
      <w:pPr>
        <w:rPr>
          <w:rFonts w:ascii="宋体" w:hAnsi="宋体" w:cs="宋体"/>
          <w:b/>
          <w:color w:val="000000"/>
          <w:sz w:val="24"/>
        </w:rPr>
      </w:pPr>
      <w:r>
        <w:rPr>
          <w:rFonts w:hint="eastAsia" w:ascii="宋体" w:hAnsi="宋体" w:cs="宋体"/>
          <w:b/>
          <w:color w:val="000000"/>
          <w:sz w:val="24"/>
        </w:rPr>
        <w:t>工程名称：东区生物楼老干部活动室装修改造工程</w:t>
      </w:r>
    </w:p>
    <w:tbl>
      <w:tblPr>
        <w:tblStyle w:val="5"/>
        <w:tblW w:w="8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2" w:hRule="atLeast"/>
        </w:trPr>
        <w:tc>
          <w:tcPr>
            <w:tcW w:w="8733"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firstLine="480" w:firstLineChars="200"/>
              <w:rPr>
                <w:rFonts w:ascii="宋体" w:hAnsi="宋体" w:cs="宋体"/>
                <w:bCs/>
                <w:sz w:val="24"/>
              </w:rPr>
            </w:pPr>
            <w:r>
              <w:rPr>
                <w:rFonts w:hint="eastAsia" w:ascii="宋体" w:hAnsi="宋体" w:cs="宋体"/>
                <w:bCs/>
                <w:sz w:val="24"/>
              </w:rPr>
              <w:t>工程概况</w:t>
            </w:r>
          </w:p>
          <w:p>
            <w:pPr>
              <w:numPr>
                <w:ilvl w:val="0"/>
                <w:numId w:val="2"/>
              </w:numPr>
              <w:spacing w:line="360" w:lineRule="auto"/>
              <w:ind w:left="480"/>
              <w:rPr>
                <w:rFonts w:hint="eastAsia" w:ascii="宋体" w:hAnsi="宋体" w:cs="宋体"/>
                <w:bCs/>
                <w:sz w:val="24"/>
              </w:rPr>
            </w:pPr>
            <w:r>
              <w:rPr>
                <w:rFonts w:hint="eastAsia" w:ascii="宋体" w:hAnsi="宋体" w:cs="宋体"/>
                <w:bCs/>
                <w:sz w:val="24"/>
              </w:rPr>
              <w:t>工程地点：东区生物楼老干部活动室装修改造工程</w:t>
            </w:r>
          </w:p>
          <w:p>
            <w:pPr>
              <w:pStyle w:val="8"/>
              <w:numPr>
                <w:ilvl w:val="0"/>
                <w:numId w:val="2"/>
              </w:numPr>
              <w:spacing w:line="360" w:lineRule="auto"/>
              <w:ind w:firstLineChars="0"/>
              <w:rPr>
                <w:rFonts w:ascii="宋体" w:hAnsi="宋体" w:cs="宋体"/>
                <w:bCs/>
                <w:sz w:val="24"/>
              </w:rPr>
            </w:pPr>
            <w:r>
              <w:rPr>
                <w:rFonts w:hint="eastAsia" w:ascii="宋体" w:hAnsi="宋体" w:cs="宋体"/>
                <w:bCs/>
                <w:sz w:val="24"/>
              </w:rPr>
              <w:t>工程概况：老干部活动室</w:t>
            </w:r>
            <w:r>
              <w:rPr>
                <w:rFonts w:hint="eastAsia" w:ascii="宋体" w:hAnsi="宋体" w:cs="宋体"/>
                <w:bCs/>
                <w:sz w:val="24"/>
                <w:lang w:val="en-US" w:eastAsia="zh-CN"/>
              </w:rPr>
              <w:t>装饰装修及水电改造</w:t>
            </w:r>
          </w:p>
          <w:p>
            <w:pPr>
              <w:spacing w:line="360" w:lineRule="auto"/>
              <w:ind w:firstLine="480" w:firstLineChars="200"/>
              <w:rPr>
                <w:rFonts w:ascii="宋体" w:hAnsi="宋体" w:cs="宋体"/>
                <w:bCs/>
                <w:sz w:val="24"/>
              </w:rPr>
            </w:pPr>
            <w:r>
              <w:rPr>
                <w:rFonts w:hint="eastAsia" w:ascii="宋体" w:hAnsi="宋体" w:cs="宋体"/>
                <w:bCs/>
                <w:sz w:val="24"/>
              </w:rPr>
              <w:t>二、编制依据</w:t>
            </w:r>
          </w:p>
          <w:p>
            <w:pPr>
              <w:spacing w:line="360" w:lineRule="auto"/>
              <w:ind w:firstLine="480" w:firstLineChars="200"/>
              <w:rPr>
                <w:rFonts w:ascii="宋体" w:hAnsi="宋体" w:cs="宋体"/>
                <w:bCs/>
                <w:sz w:val="24"/>
              </w:rPr>
            </w:pPr>
            <w:r>
              <w:rPr>
                <w:rFonts w:hint="eastAsia" w:ascii="宋体" w:hAnsi="宋体" w:cs="宋体"/>
                <w:bCs/>
                <w:sz w:val="24"/>
              </w:rPr>
              <w:t>1、本项目施工招标文件；</w:t>
            </w:r>
          </w:p>
          <w:p>
            <w:pPr>
              <w:spacing w:line="360" w:lineRule="auto"/>
              <w:ind w:firstLine="480" w:firstLineChars="200"/>
              <w:rPr>
                <w:rFonts w:ascii="宋体" w:hAnsi="宋体" w:cs="宋体"/>
                <w:bCs/>
                <w:sz w:val="24"/>
              </w:rPr>
            </w:pPr>
            <w:r>
              <w:rPr>
                <w:rFonts w:hint="eastAsia" w:ascii="宋体" w:hAnsi="宋体" w:cs="宋体"/>
                <w:bCs/>
                <w:sz w:val="24"/>
              </w:rPr>
              <w:t>2、设计图纸及变更图纸；</w:t>
            </w:r>
          </w:p>
          <w:p>
            <w:pPr>
              <w:spacing w:line="360" w:lineRule="auto"/>
              <w:ind w:firstLine="480" w:firstLineChars="200"/>
              <w:rPr>
                <w:rFonts w:ascii="宋体" w:hAnsi="宋体" w:cs="宋体"/>
                <w:bCs/>
                <w:sz w:val="24"/>
              </w:rPr>
            </w:pPr>
            <w:r>
              <w:rPr>
                <w:rFonts w:hint="eastAsia" w:ascii="宋体" w:hAnsi="宋体" w:cs="宋体"/>
                <w:bCs/>
                <w:sz w:val="24"/>
              </w:rPr>
              <w:t>3、清单以《建设工程工程量清单计价规范》（GB50500-2013）、《2018安徽省建设工程工程量清单计价办法》；组价执行：2018《安徽省市政工程计价定额》、2018《安徽省园林绿化工程计价定额》、2018《安徽省仿古建筑工程计价定额》、2018《安徽省公用计价定额》、 2018《安徽省建筑工程计价定额》、2018《安徽省建筑工程计价定额共用册》、2018《安徽省装饰装修工程计价定额》、2018《安徽省安装工程计价定额》、及其配套的2018《安徽省建设工程费用定额》、2018《安徽省建设工程施工机械台班费用编制规则》等。</w:t>
            </w:r>
          </w:p>
          <w:p>
            <w:pPr>
              <w:spacing w:line="360" w:lineRule="auto"/>
              <w:ind w:firstLine="480" w:firstLineChars="200"/>
              <w:rPr>
                <w:rFonts w:ascii="宋体" w:hAnsi="宋体" w:cs="宋体"/>
                <w:bCs/>
                <w:sz w:val="24"/>
              </w:rPr>
            </w:pPr>
            <w:r>
              <w:rPr>
                <w:rFonts w:hint="eastAsia" w:ascii="宋体" w:hAnsi="宋体" w:cs="宋体"/>
                <w:bCs/>
                <w:sz w:val="24"/>
              </w:rPr>
              <w:t>三、编制范围</w:t>
            </w:r>
          </w:p>
          <w:p>
            <w:pPr>
              <w:spacing w:line="360" w:lineRule="auto"/>
              <w:ind w:firstLine="480" w:firstLineChars="200"/>
              <w:rPr>
                <w:rFonts w:ascii="宋体" w:hAnsi="宋体" w:cs="宋体"/>
                <w:bCs/>
                <w:sz w:val="24"/>
              </w:rPr>
            </w:pPr>
            <w:r>
              <w:rPr>
                <w:rFonts w:hint="eastAsia" w:ascii="宋体" w:hAnsi="宋体" w:cs="宋体"/>
                <w:bCs/>
                <w:sz w:val="24"/>
              </w:rPr>
              <w:t>按照所给施工图纸及变更图纸、答疑，图纸所示内容内所有工程；</w:t>
            </w:r>
          </w:p>
          <w:p>
            <w:pPr>
              <w:spacing w:line="360" w:lineRule="auto"/>
              <w:ind w:firstLine="480" w:firstLineChars="200"/>
              <w:rPr>
                <w:rFonts w:ascii="宋体" w:hAnsi="宋体" w:cs="宋体"/>
                <w:bCs/>
                <w:sz w:val="24"/>
              </w:rPr>
            </w:pPr>
            <w:r>
              <w:rPr>
                <w:rFonts w:hint="eastAsia" w:ascii="宋体" w:hAnsi="宋体" w:cs="宋体"/>
                <w:bCs/>
                <w:sz w:val="24"/>
              </w:rPr>
              <w:t>四、人工、材料价格的取定</w:t>
            </w:r>
          </w:p>
          <w:p>
            <w:pPr>
              <w:spacing w:line="360" w:lineRule="auto"/>
              <w:ind w:firstLine="480" w:firstLineChars="200"/>
              <w:rPr>
                <w:rFonts w:ascii="宋体" w:hAnsi="宋体" w:cs="宋体"/>
                <w:bCs/>
                <w:sz w:val="24"/>
              </w:rPr>
            </w:pPr>
            <w:r>
              <w:rPr>
                <w:rFonts w:hint="eastAsia" w:ascii="宋体" w:hAnsi="宋体" w:cs="宋体"/>
                <w:bCs/>
                <w:sz w:val="24"/>
              </w:rPr>
              <w:t>1、人工单价：按2018年定额单价140元/工日；</w:t>
            </w:r>
          </w:p>
          <w:p>
            <w:pPr>
              <w:spacing w:line="360" w:lineRule="auto"/>
              <w:ind w:firstLine="480" w:firstLineChars="200"/>
              <w:rPr>
                <w:rFonts w:ascii="宋体" w:hAnsi="宋体" w:cs="宋体"/>
                <w:bCs/>
                <w:sz w:val="24"/>
              </w:rPr>
            </w:pPr>
            <w:r>
              <w:rPr>
                <w:rFonts w:hint="eastAsia" w:ascii="宋体" w:hAnsi="宋体" w:cs="宋体"/>
                <w:bCs/>
                <w:sz w:val="24"/>
              </w:rPr>
              <w:t>2、材料价格：采用 20</w:t>
            </w:r>
            <w:r>
              <w:rPr>
                <w:rFonts w:hint="eastAsia" w:ascii="宋体" w:hAnsi="宋体" w:cs="宋体"/>
                <w:bCs/>
                <w:sz w:val="24"/>
                <w:lang w:val="en-US" w:eastAsia="zh-CN"/>
              </w:rPr>
              <w:t>20</w:t>
            </w:r>
            <w:r>
              <w:rPr>
                <w:rFonts w:hint="eastAsia" w:ascii="宋体" w:hAnsi="宋体" w:cs="宋体"/>
                <w:bCs/>
                <w:sz w:val="24"/>
              </w:rPr>
              <w:t>年</w:t>
            </w:r>
            <w:r>
              <w:rPr>
                <w:rFonts w:hint="eastAsia" w:ascii="宋体" w:hAnsi="宋体" w:cs="宋体"/>
                <w:bCs/>
                <w:sz w:val="24"/>
                <w:lang w:val="en-US" w:eastAsia="zh-CN"/>
              </w:rPr>
              <w:t>12</w:t>
            </w:r>
            <w:r>
              <w:rPr>
                <w:rFonts w:hint="eastAsia" w:ascii="宋体" w:hAnsi="宋体" w:cs="宋体"/>
                <w:bCs/>
                <w:sz w:val="24"/>
              </w:rPr>
              <w:t>月淮南《工程造价》月刊信息价格；信息价没有的材料，参照合肥及淮南周边城市同期信息价或市场询价列入。</w:t>
            </w:r>
          </w:p>
          <w:p>
            <w:pPr>
              <w:spacing w:line="360" w:lineRule="auto"/>
              <w:ind w:firstLine="480"/>
              <w:rPr>
                <w:rFonts w:ascii="宋体" w:hAnsi="宋体" w:cs="宋体"/>
                <w:bCs/>
                <w:sz w:val="24"/>
              </w:rPr>
            </w:pPr>
            <w:r>
              <w:rPr>
                <w:rFonts w:hint="eastAsia" w:ascii="宋体" w:hAnsi="宋体" w:cs="宋体"/>
                <w:bCs/>
                <w:sz w:val="24"/>
              </w:rPr>
              <w:t>五、税金</w:t>
            </w:r>
          </w:p>
          <w:p>
            <w:pPr>
              <w:spacing w:line="360" w:lineRule="auto"/>
              <w:ind w:firstLine="480" w:firstLineChars="200"/>
              <w:rPr>
                <w:rFonts w:ascii="宋体" w:hAnsi="宋体" w:cs="宋体"/>
                <w:bCs/>
                <w:sz w:val="24"/>
              </w:rPr>
            </w:pPr>
            <w:r>
              <w:rPr>
                <w:rFonts w:hint="eastAsia" w:ascii="宋体" w:hAnsi="宋体" w:cs="宋体"/>
                <w:bCs/>
                <w:sz w:val="24"/>
              </w:rPr>
              <w:t>税金按（造价〔2019〕7号）规定以  9% 计入造价。</w:t>
            </w:r>
          </w:p>
          <w:p>
            <w:pPr>
              <w:spacing w:line="360" w:lineRule="auto"/>
              <w:ind w:firstLine="480" w:firstLineChars="200"/>
              <w:rPr>
                <w:rFonts w:ascii="宋体" w:hAnsi="宋体" w:cs="宋体"/>
                <w:bCs/>
                <w:sz w:val="24"/>
              </w:rPr>
            </w:pPr>
            <w:r>
              <w:rPr>
                <w:rFonts w:hint="eastAsia" w:ascii="宋体" w:hAnsi="宋体" w:cs="宋体"/>
                <w:bCs/>
                <w:sz w:val="24"/>
              </w:rPr>
              <w:t>六、暂列金额</w:t>
            </w:r>
          </w:p>
          <w:p>
            <w:pPr>
              <w:spacing w:line="360" w:lineRule="auto"/>
              <w:ind w:firstLine="480" w:firstLineChars="200"/>
              <w:rPr>
                <w:rFonts w:ascii="宋体" w:hAnsi="宋体" w:cs="宋体"/>
                <w:bCs/>
                <w:sz w:val="24"/>
              </w:rPr>
            </w:pPr>
            <w:r>
              <w:rPr>
                <w:rFonts w:hint="eastAsia" w:ascii="宋体" w:hAnsi="宋体" w:cs="宋体"/>
                <w:bCs/>
                <w:sz w:val="24"/>
              </w:rPr>
              <w:t>本工程暂列金为</w:t>
            </w:r>
            <w:r>
              <w:rPr>
                <w:rFonts w:ascii="宋体" w:hAnsi="宋体" w:cs="宋体"/>
                <w:bCs/>
                <w:sz w:val="24"/>
              </w:rPr>
              <w:t>0</w:t>
            </w:r>
            <w:r>
              <w:rPr>
                <w:rFonts w:hint="eastAsia" w:ascii="宋体" w:hAnsi="宋体" w:cs="宋体"/>
                <w:bCs/>
                <w:sz w:val="24"/>
              </w:rPr>
              <w:t>元，不取费、不取税。</w:t>
            </w:r>
          </w:p>
          <w:p>
            <w:pPr>
              <w:numPr>
                <w:ilvl w:val="0"/>
                <w:numId w:val="3"/>
              </w:numPr>
              <w:spacing w:line="360" w:lineRule="auto"/>
              <w:ind w:firstLine="480" w:firstLineChars="200"/>
              <w:rPr>
                <w:rFonts w:ascii="宋体" w:hAnsi="宋体" w:cs="宋体"/>
                <w:bCs/>
                <w:sz w:val="24"/>
              </w:rPr>
            </w:pPr>
            <w:r>
              <w:rPr>
                <w:rFonts w:hint="eastAsia" w:ascii="宋体" w:hAnsi="宋体" w:cs="宋体"/>
                <w:bCs/>
                <w:sz w:val="24"/>
              </w:rPr>
              <w:t>暂定工程</w:t>
            </w:r>
          </w:p>
          <w:p>
            <w:pPr>
              <w:spacing w:line="360" w:lineRule="auto"/>
              <w:rPr>
                <w:rFonts w:ascii="宋体" w:hAnsi="宋体" w:cs="宋体"/>
                <w:bCs/>
                <w:sz w:val="24"/>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无</w:t>
            </w:r>
          </w:p>
          <w:p>
            <w:pPr>
              <w:spacing w:line="360" w:lineRule="auto"/>
              <w:ind w:left="480"/>
              <w:rPr>
                <w:rFonts w:ascii="宋体" w:hAnsi="宋体"/>
                <w:sz w:val="24"/>
              </w:rPr>
            </w:pPr>
            <w:r>
              <w:rPr>
                <w:rFonts w:hint="eastAsia" w:ascii="宋体" w:hAnsi="宋体"/>
                <w:sz w:val="24"/>
              </w:rPr>
              <w:t>八、投标报价说明</w:t>
            </w:r>
          </w:p>
          <w:p>
            <w:pPr>
              <w:spacing w:line="520" w:lineRule="exact"/>
              <w:ind w:firstLine="480" w:firstLineChars="200"/>
              <w:rPr>
                <w:rFonts w:ascii="宋体" w:hAnsi="宋体"/>
                <w:sz w:val="24"/>
              </w:rPr>
            </w:pPr>
            <w:r>
              <w:rPr>
                <w:rFonts w:hint="eastAsia" w:ascii="宋体" w:hAnsi="宋体"/>
                <w:sz w:val="24"/>
              </w:rPr>
              <w:t>1、工程量清单列出的每个细目已包括涉及与该细目有关的全部工程内容，投标人应将工程量清单与招标文件、合同通用条款、专用条款以及技术规范和图纸一起对照阅读。</w:t>
            </w:r>
          </w:p>
          <w:p>
            <w:pPr>
              <w:spacing w:line="520" w:lineRule="exact"/>
              <w:ind w:firstLine="480" w:firstLineChars="200"/>
              <w:rPr>
                <w:rFonts w:ascii="宋体" w:hAnsi="宋体"/>
                <w:sz w:val="24"/>
              </w:rPr>
            </w:pPr>
            <w:r>
              <w:rPr>
                <w:rFonts w:hint="eastAsia" w:ascii="宋体" w:hAnsi="宋体"/>
                <w:sz w:val="24"/>
              </w:rPr>
              <w:t>2、除非合同另有规定，工程量清单中每一项单价均应已包括完成相应该项目的工程内容所需的所有人工、设备、材料和其他伴随服务所发生的所有费用。</w:t>
            </w:r>
          </w:p>
          <w:p>
            <w:pPr>
              <w:spacing w:line="520" w:lineRule="exact"/>
              <w:ind w:firstLine="480" w:firstLineChars="200"/>
              <w:rPr>
                <w:rFonts w:ascii="宋体" w:hAnsi="宋体"/>
                <w:sz w:val="24"/>
              </w:rPr>
            </w:pPr>
            <w:r>
              <w:rPr>
                <w:rFonts w:hint="eastAsia" w:ascii="宋体" w:hAnsi="宋体"/>
                <w:sz w:val="24"/>
              </w:rPr>
              <w:t>3、投标人应填写工程量清单中所有工程细目的价格，凡技术规范和图纸中注明的工程内容，如在清单中未列项，均应视为包含在其它相关项目中。</w:t>
            </w:r>
          </w:p>
          <w:p>
            <w:pPr>
              <w:spacing w:line="520" w:lineRule="exact"/>
              <w:ind w:firstLine="480" w:firstLineChars="200"/>
              <w:rPr>
                <w:rFonts w:ascii="宋体" w:hAnsi="宋体"/>
                <w:sz w:val="24"/>
              </w:rPr>
            </w:pPr>
            <w:r>
              <w:rPr>
                <w:rFonts w:hint="eastAsia" w:ascii="宋体" w:hAnsi="宋体"/>
                <w:sz w:val="24"/>
              </w:rPr>
              <w:t>4、清单描述不明确的，以施工图设计文件和相关施工验收规范、图集为准；清</w:t>
            </w:r>
            <w:bookmarkStart w:id="0" w:name="_GoBack"/>
            <w:r>
              <w:rPr>
                <w:rFonts w:hint="eastAsia" w:ascii="宋体" w:hAnsi="宋体"/>
                <w:sz w:val="24"/>
              </w:rPr>
              <w:t>单与图纸技术标准不一致的，以较优的技术标准为准。</w:t>
            </w:r>
          </w:p>
          <w:p>
            <w:pPr>
              <w:spacing w:line="520" w:lineRule="exact"/>
              <w:ind w:firstLine="480" w:firstLineChars="200"/>
              <w:rPr>
                <w:rFonts w:hint="eastAsia" w:ascii="宋体" w:hAnsi="宋体"/>
                <w:sz w:val="24"/>
              </w:rPr>
            </w:pPr>
            <w:r>
              <w:rPr>
                <w:rFonts w:hint="eastAsia" w:ascii="宋体" w:hAnsi="宋体"/>
                <w:sz w:val="24"/>
              </w:rPr>
              <w:t>5、投标人对工程量清单有任何疑问，应于招标文件规定的疑问提交截止日前提出，否则视为投标人认可该工程量清单已包括了招标范围的全部内容。</w:t>
            </w:r>
          </w:p>
          <w:p>
            <w:pPr>
              <w:spacing w:line="520" w:lineRule="exact"/>
              <w:ind w:firstLine="480" w:firstLineChars="200"/>
              <w:rPr>
                <w:rFonts w:hint="default" w:ascii="宋体" w:hAnsi="宋体" w:eastAsia="宋体"/>
                <w:sz w:val="24"/>
                <w:lang w:val="en-US" w:eastAsia="zh-CN"/>
              </w:rPr>
            </w:pPr>
            <w:r>
              <w:rPr>
                <w:rFonts w:hint="eastAsia" w:ascii="宋体" w:hAnsi="宋体"/>
                <w:sz w:val="24"/>
                <w:lang w:val="en-US" w:eastAsia="zh-CN"/>
              </w:rPr>
              <w:t>6、大便器、小便器、成品防水隔断等因淮南及合肥市信息价格查询不到以专业测定价为准计入。</w:t>
            </w:r>
          </w:p>
          <w:bookmarkEnd w:id="0"/>
          <w:p>
            <w:pPr>
              <w:spacing w:line="520" w:lineRule="exact"/>
              <w:ind w:firstLine="480" w:firstLineChars="20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ind w:left="480"/>
              <w:rPr>
                <w:rFonts w:ascii="宋体" w:hAnsi="宋体"/>
                <w:sz w:val="24"/>
              </w:rPr>
            </w:pPr>
          </w:p>
          <w:p>
            <w:pPr>
              <w:spacing w:line="360" w:lineRule="auto"/>
              <w:rPr>
                <w:rFonts w:ascii="宋体" w:hAnsi="宋体"/>
                <w:sz w:val="24"/>
              </w:rPr>
            </w:pPr>
          </w:p>
        </w:tc>
      </w:tr>
    </w:tbl>
    <w:p>
      <w:pPr>
        <w:rPr>
          <w:rFonts w:ascii="宋体" w:hAnsi="宋体" w:cs="宋体"/>
          <w:b/>
          <w:color w:val="000000"/>
          <w:sz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B37E"/>
    <w:multiLevelType w:val="singleLevel"/>
    <w:tmpl w:val="1EACB37E"/>
    <w:lvl w:ilvl="0" w:tentative="0">
      <w:start w:val="7"/>
      <w:numFmt w:val="chineseCounting"/>
      <w:suff w:val="nothing"/>
      <w:lvlText w:val="%1、"/>
      <w:lvlJc w:val="left"/>
      <w:rPr>
        <w:rFonts w:hint="eastAsia"/>
      </w:rPr>
    </w:lvl>
  </w:abstractNum>
  <w:abstractNum w:abstractNumId="1">
    <w:nsid w:val="5AA49D97"/>
    <w:multiLevelType w:val="singleLevel"/>
    <w:tmpl w:val="5AA49D97"/>
    <w:lvl w:ilvl="0" w:tentative="0">
      <w:start w:val="1"/>
      <w:numFmt w:val="chineseCounting"/>
      <w:suff w:val="nothing"/>
      <w:lvlText w:val="%1、"/>
      <w:lvlJc w:val="left"/>
    </w:lvl>
  </w:abstractNum>
  <w:abstractNum w:abstractNumId="2">
    <w:nsid w:val="5AA4DDA0"/>
    <w:multiLevelType w:val="singleLevel"/>
    <w:tmpl w:val="5AA4DDA0"/>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F11F7"/>
    <w:rsid w:val="001248D5"/>
    <w:rsid w:val="0014034F"/>
    <w:rsid w:val="00157A4E"/>
    <w:rsid w:val="00172A27"/>
    <w:rsid w:val="00206E9A"/>
    <w:rsid w:val="0022015E"/>
    <w:rsid w:val="00281AE5"/>
    <w:rsid w:val="0028727F"/>
    <w:rsid w:val="002B539A"/>
    <w:rsid w:val="002B7EDB"/>
    <w:rsid w:val="00396722"/>
    <w:rsid w:val="003C61C2"/>
    <w:rsid w:val="003D54A2"/>
    <w:rsid w:val="00420721"/>
    <w:rsid w:val="0043709E"/>
    <w:rsid w:val="00445C85"/>
    <w:rsid w:val="00512763"/>
    <w:rsid w:val="00565AD0"/>
    <w:rsid w:val="00595125"/>
    <w:rsid w:val="00605CFD"/>
    <w:rsid w:val="0071366A"/>
    <w:rsid w:val="007568CA"/>
    <w:rsid w:val="00815E1E"/>
    <w:rsid w:val="008D787C"/>
    <w:rsid w:val="008E4749"/>
    <w:rsid w:val="0092665C"/>
    <w:rsid w:val="00997CA2"/>
    <w:rsid w:val="009C7BB6"/>
    <w:rsid w:val="00A85604"/>
    <w:rsid w:val="00A865DB"/>
    <w:rsid w:val="00B25F1F"/>
    <w:rsid w:val="00C07D58"/>
    <w:rsid w:val="00CF05D5"/>
    <w:rsid w:val="00D47C90"/>
    <w:rsid w:val="00DC2BE4"/>
    <w:rsid w:val="00DF0229"/>
    <w:rsid w:val="00E476CA"/>
    <w:rsid w:val="00E47FA9"/>
    <w:rsid w:val="00E816BA"/>
    <w:rsid w:val="00EA3323"/>
    <w:rsid w:val="00F56E1A"/>
    <w:rsid w:val="00F62FA2"/>
    <w:rsid w:val="00F83ED2"/>
    <w:rsid w:val="00FB5CF3"/>
    <w:rsid w:val="02B31B75"/>
    <w:rsid w:val="0788439F"/>
    <w:rsid w:val="07CC4A5D"/>
    <w:rsid w:val="085703BD"/>
    <w:rsid w:val="08FD2714"/>
    <w:rsid w:val="09402AC3"/>
    <w:rsid w:val="0B3527A0"/>
    <w:rsid w:val="0D7758F6"/>
    <w:rsid w:val="0DD60B6A"/>
    <w:rsid w:val="113D1560"/>
    <w:rsid w:val="182D2B3D"/>
    <w:rsid w:val="1AF84B3F"/>
    <w:rsid w:val="1D850E1C"/>
    <w:rsid w:val="1E6A5F5A"/>
    <w:rsid w:val="2395547A"/>
    <w:rsid w:val="23DB1E72"/>
    <w:rsid w:val="24CD0B4F"/>
    <w:rsid w:val="26E0316D"/>
    <w:rsid w:val="2BF378DC"/>
    <w:rsid w:val="2C990272"/>
    <w:rsid w:val="32847D9F"/>
    <w:rsid w:val="33A74D92"/>
    <w:rsid w:val="34AA1B4C"/>
    <w:rsid w:val="369773CA"/>
    <w:rsid w:val="39F35BA6"/>
    <w:rsid w:val="3A1665A2"/>
    <w:rsid w:val="3CBF1C5D"/>
    <w:rsid w:val="3F7C3C85"/>
    <w:rsid w:val="3FF847AA"/>
    <w:rsid w:val="42E1562E"/>
    <w:rsid w:val="44613041"/>
    <w:rsid w:val="4533494C"/>
    <w:rsid w:val="463250F7"/>
    <w:rsid w:val="482D1ACA"/>
    <w:rsid w:val="498A4554"/>
    <w:rsid w:val="4B530F0D"/>
    <w:rsid w:val="4E232408"/>
    <w:rsid w:val="52F21B35"/>
    <w:rsid w:val="55CB29A5"/>
    <w:rsid w:val="55D07827"/>
    <w:rsid w:val="56E73C83"/>
    <w:rsid w:val="572A442D"/>
    <w:rsid w:val="573A0B24"/>
    <w:rsid w:val="59AE4D88"/>
    <w:rsid w:val="5E511339"/>
    <w:rsid w:val="5EED3F1A"/>
    <w:rsid w:val="66537F12"/>
    <w:rsid w:val="66A70F1A"/>
    <w:rsid w:val="67450A7D"/>
    <w:rsid w:val="676D4DAE"/>
    <w:rsid w:val="6B975BE0"/>
    <w:rsid w:val="6BE62D9C"/>
    <w:rsid w:val="6C4A67C6"/>
    <w:rsid w:val="6E2C7083"/>
    <w:rsid w:val="6F822074"/>
    <w:rsid w:val="72306ABE"/>
    <w:rsid w:val="72901EF4"/>
    <w:rsid w:val="778C2CA4"/>
    <w:rsid w:val="7C517713"/>
    <w:rsid w:val="7DEC3759"/>
    <w:rsid w:val="7E461FDD"/>
    <w:rsid w:val="7F5B7CA6"/>
    <w:rsid w:val="7FEB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9"/>
    <w:qFormat/>
    <w:uiPriority w:val="0"/>
    <w:pPr>
      <w:snapToGrid w:val="0"/>
      <w:jc w:val="left"/>
    </w:pPr>
    <w:rPr>
      <w:sz w:val="18"/>
      <w:szCs w:val="18"/>
    </w:rPr>
  </w:style>
  <w:style w:type="character" w:styleId="7">
    <w:name w:val="footnote reference"/>
    <w:basedOn w:val="6"/>
    <w:qFormat/>
    <w:uiPriority w:val="0"/>
    <w:rPr>
      <w:vertAlign w:val="superscript"/>
    </w:rPr>
  </w:style>
  <w:style w:type="paragraph" w:customStyle="1" w:styleId="8">
    <w:name w:val="列出段落1"/>
    <w:basedOn w:val="1"/>
    <w:unhideWhenUsed/>
    <w:qFormat/>
    <w:uiPriority w:val="99"/>
    <w:pPr>
      <w:ind w:firstLine="420" w:firstLineChars="200"/>
    </w:pPr>
  </w:style>
  <w:style w:type="character" w:customStyle="1" w:styleId="9">
    <w:name w:val="脚注文本 字符"/>
    <w:basedOn w:val="6"/>
    <w:link w:val="4"/>
    <w:qFormat/>
    <w:uiPriority w:val="0"/>
    <w:rPr>
      <w:rFonts w:ascii="Times New Roman" w:hAnsi="Times New Roman" w:eastAsia="宋体" w:cs="Times New Roman"/>
      <w:kern w:val="2"/>
      <w:sz w:val="18"/>
      <w:szCs w:val="18"/>
    </w:rPr>
  </w:style>
  <w:style w:type="character" w:customStyle="1" w:styleId="10">
    <w:name w:val="页眉 字符"/>
    <w:basedOn w:val="6"/>
    <w:link w:val="3"/>
    <w:qFormat/>
    <w:uiPriority w:val="0"/>
    <w:rPr>
      <w:rFonts w:ascii="Times New Roman" w:hAnsi="Times New Roman" w:eastAsia="宋体" w:cs="Times New Roman"/>
      <w:kern w:val="2"/>
      <w:sz w:val="18"/>
      <w:szCs w:val="18"/>
    </w:rPr>
  </w:style>
  <w:style w:type="character" w:customStyle="1" w:styleId="11">
    <w:name w:val="页脚 字符"/>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281F9-9705-40C3-84B7-2444813B4697}">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139</Words>
  <Characters>794</Characters>
  <Lines>6</Lines>
  <Paragraphs>1</Paragraphs>
  <TotalTime>5</TotalTime>
  <ScaleCrop>false</ScaleCrop>
  <LinksUpToDate>false</LinksUpToDate>
  <CharactersWithSpaces>932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Qc</cp:lastModifiedBy>
  <cp:lastPrinted>2019-07-25T08:55:00Z</cp:lastPrinted>
  <dcterms:modified xsi:type="dcterms:W3CDTF">2021-02-04T01:13:14Z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